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A386B"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b/>
          <w:bCs/>
          <w:kern w:val="0"/>
          <w:sz w:val="20"/>
          <w:szCs w:val="20"/>
          <w:lang w:val="es-CO"/>
          <w14:ligatures w14:val="none"/>
        </w:rPr>
        <w:t>Mi vehículo no está “listo” y hoy vence el plazo de matriculación. ¿Qué puedo hacer?</w:t>
      </w:r>
    </w:p>
    <w:p w14:paraId="70B30AE7"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kern w:val="0"/>
          <w:sz w:val="20"/>
          <w:szCs w:val="20"/>
          <w:lang w:val="es-CO"/>
          <w14:ligatures w14:val="none"/>
        </w:rPr>
        <w:t xml:space="preserve">Puede llevar el Informe de inspección del vehículo que recibió en la estación, junto con su título, al BMV para solicitar un registro temporal de placa. Una vez que su vehículo pase la prueba de verificación </w:t>
      </w:r>
      <w:proofErr w:type="spellStart"/>
      <w:r w:rsidRPr="0016031B">
        <w:rPr>
          <w:rFonts w:ascii="Aptos" w:eastAsia="Times New Roman" w:hAnsi="Aptos" w:cs="Times New Roman"/>
          <w:kern w:val="0"/>
          <w:sz w:val="20"/>
          <w:szCs w:val="20"/>
          <w:lang w:val="es-CO"/>
          <w14:ligatures w14:val="none"/>
        </w:rPr>
        <w:t>electronica</w:t>
      </w:r>
      <w:proofErr w:type="spellEnd"/>
      <w:r w:rsidRPr="0016031B">
        <w:rPr>
          <w:rFonts w:ascii="Aptos" w:eastAsia="Times New Roman" w:hAnsi="Aptos" w:cs="Times New Roman"/>
          <w:kern w:val="0"/>
          <w:sz w:val="20"/>
          <w:szCs w:val="20"/>
          <w:lang w:val="es-CO"/>
          <w14:ligatures w14:val="none"/>
        </w:rPr>
        <w:t xml:space="preserve"> (E-</w:t>
      </w:r>
      <w:proofErr w:type="spellStart"/>
      <w:r w:rsidRPr="0016031B">
        <w:rPr>
          <w:rFonts w:ascii="Aptos" w:eastAsia="Times New Roman" w:hAnsi="Aptos" w:cs="Times New Roman"/>
          <w:kern w:val="0"/>
          <w:sz w:val="20"/>
          <w:szCs w:val="20"/>
          <w:lang w:val="es-CO"/>
          <w14:ligatures w14:val="none"/>
        </w:rPr>
        <w:t>Check</w:t>
      </w:r>
      <w:proofErr w:type="spellEnd"/>
      <w:r w:rsidRPr="0016031B">
        <w:rPr>
          <w:rFonts w:ascii="Aptos" w:eastAsia="Times New Roman" w:hAnsi="Aptos" w:cs="Times New Roman"/>
          <w:kern w:val="0"/>
          <w:sz w:val="20"/>
          <w:szCs w:val="20"/>
          <w:lang w:val="es-CO"/>
          <w14:ligatures w14:val="none"/>
        </w:rPr>
        <w:t>), podrá completar el proceso de registro y obtener sus placas/calcomanías. No perderá las placas rígidas que tiene actualmente en su vehículo.</w:t>
      </w:r>
    </w:p>
    <w:p w14:paraId="1FB63C4D"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b/>
          <w:bCs/>
          <w:kern w:val="0"/>
          <w:sz w:val="20"/>
          <w:szCs w:val="20"/>
          <w:lang w:val="es-CO"/>
          <w14:ligatures w14:val="none"/>
        </w:rPr>
        <w:t>He utilizado dos placas temporales y mi vehículo aún no está “listo”. ¿Qué puedo hacer?</w:t>
      </w:r>
    </w:p>
    <w:p w14:paraId="2D341D88" w14:textId="77777777" w:rsidR="0016031B" w:rsidRPr="0016031B" w:rsidRDefault="0016031B" w:rsidP="0016031B">
      <w:pPr>
        <w:spacing w:line="240" w:lineRule="auto"/>
        <w:rPr>
          <w:rFonts w:ascii="Aptos" w:eastAsia="Times New Roman" w:hAnsi="Aptos" w:cs="Times New Roman"/>
          <w:b/>
          <w:bCs/>
          <w:kern w:val="0"/>
          <w:sz w:val="20"/>
          <w:szCs w:val="20"/>
          <w:lang w:val="es-CO"/>
          <w14:ligatures w14:val="none"/>
        </w:rPr>
      </w:pPr>
      <w:r w:rsidRPr="0016031B">
        <w:rPr>
          <w:rFonts w:ascii="Aptos" w:eastAsia="Times New Roman" w:hAnsi="Aptos" w:cs="Times New Roman"/>
          <w:kern w:val="0"/>
          <w:sz w:val="20"/>
          <w:szCs w:val="20"/>
          <w:lang w:val="es-CO"/>
          <w14:ligatures w14:val="none"/>
        </w:rPr>
        <w:t xml:space="preserve">Si tiene los recibos originales de las reparaciones realizadas al vehículo, puede calificar para una extensión. La extensión le daría tiempo para que los monitores de preparación se restablezcan a "listo" y le permita conducir el vehículo legalmente. Hable con el gerente de una estación de servicio completo para ver si califica o llame a la EPA de Ohio al (330) 963-4479 en la oficina de Twinsburg o al (614) 644-3059 en la oficina de </w:t>
      </w:r>
      <w:proofErr w:type="spellStart"/>
      <w:r w:rsidRPr="0016031B">
        <w:rPr>
          <w:rFonts w:ascii="Aptos" w:eastAsia="Times New Roman" w:hAnsi="Aptos" w:cs="Times New Roman"/>
          <w:kern w:val="0"/>
          <w:sz w:val="20"/>
          <w:szCs w:val="20"/>
          <w:lang w:val="es-CO"/>
          <w14:ligatures w14:val="none"/>
        </w:rPr>
        <w:t>Columbus.</w:t>
      </w:r>
      <w:r w:rsidRPr="0016031B">
        <w:rPr>
          <w:rFonts w:ascii="Aptos" w:eastAsia="Times New Roman" w:hAnsi="Aptos" w:cs="Times New Roman"/>
          <w:b/>
          <w:bCs/>
          <w:kern w:val="0"/>
          <w:sz w:val="20"/>
          <w:szCs w:val="20"/>
          <w:lang w:val="es-CO"/>
          <w14:ligatures w14:val="none"/>
        </w:rPr>
        <w:t>Para</w:t>
      </w:r>
      <w:proofErr w:type="spellEnd"/>
      <w:r w:rsidRPr="0016031B">
        <w:rPr>
          <w:rFonts w:ascii="Aptos" w:eastAsia="Times New Roman" w:hAnsi="Aptos" w:cs="Times New Roman"/>
          <w:b/>
          <w:bCs/>
          <w:kern w:val="0"/>
          <w:sz w:val="20"/>
          <w:szCs w:val="20"/>
          <w:lang w:val="es-CO"/>
          <w14:ligatures w14:val="none"/>
        </w:rPr>
        <w:t xml:space="preserve"> verificar el estado del monitor de preparación de su vehículo en el momento de la inspección, consulte la sección de monitores de preparación del informe de inspección del vehículo. A continuación, se incluye una clave para explicar el estado del monitor de preparación:</w:t>
      </w:r>
    </w:p>
    <w:p w14:paraId="435DAFCA" w14:textId="00DF0611" w:rsidR="0016031B" w:rsidRPr="0016031B" w:rsidRDefault="0016031B" w:rsidP="0016031B">
      <w:pPr>
        <w:rPr>
          <w:rFonts w:ascii="Aptos" w:eastAsia="Times New Roman" w:hAnsi="Aptos" w:cs="Times New Roman"/>
          <w:b/>
          <w:bCs/>
          <w:kern w:val="0"/>
          <w:sz w:val="20"/>
          <w:szCs w:val="20"/>
          <w:lang w:val="es-CO"/>
          <w14:ligatures w14:val="none"/>
        </w:rPr>
      </w:pPr>
      <w:r w:rsidRPr="0016031B">
        <w:rPr>
          <w:rFonts w:ascii="Aptos" w:eastAsia="Times New Roman" w:hAnsi="Aptos" w:cs="Arial"/>
          <w:b/>
          <w:noProof/>
          <w:kern w:val="0"/>
          <w:sz w:val="20"/>
          <w:szCs w:val="20"/>
          <w14:ligatures w14:val="none"/>
        </w:rPr>
        <w:drawing>
          <wp:anchor distT="0" distB="384" distL="119796" distR="114400" simplePos="0" relativeHeight="251659264" behindDoc="1" locked="0" layoutInCell="1" allowOverlap="1" wp14:anchorId="7CCA067C" wp14:editId="2D506929">
            <wp:simplePos x="0" y="0"/>
            <wp:positionH relativeFrom="column">
              <wp:posOffset>14386</wp:posOffset>
            </wp:positionH>
            <wp:positionV relativeFrom="paragraph">
              <wp:posOffset>270510</wp:posOffset>
            </wp:positionV>
            <wp:extent cx="1506720" cy="1964052"/>
            <wp:effectExtent l="0" t="0" r="0" b="0"/>
            <wp:wrapNone/>
            <wp:docPr id="501687161" name="Picture 2" descr="C:\Users\shawn.miele\AppData\Local\Microsoft\Windows\Temporary Internet Files\Content.Outlook\DWKETXWZ\SKM_C650i220216153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shawn.miele\AppData\Local\Microsoft\Windows\Temporary Internet Files\Content.Outlook\DWKETXWZ\SKM_C650i22021615300.jpg"/>
                    <pic:cNvPicPr>
                      <a:picLocks noChangeAspect="1" noChangeArrowheads="1"/>
                    </pic:cNvPicPr>
                  </pic:nvPicPr>
                  <pic:blipFill>
                    <a:blip r:embed="rId4" cstate="print"/>
                    <a:srcRect/>
                    <a:stretch>
                      <a:fillRect/>
                    </a:stretch>
                  </pic:blipFill>
                  <pic:spPr bwMode="auto">
                    <a:xfrm>
                      <a:off x="0" y="0"/>
                      <a:ext cx="1506220" cy="1963420"/>
                    </a:xfrm>
                    <a:prstGeom prst="rect">
                      <a:avLst/>
                    </a:prstGeom>
                    <a:noFill/>
                    <a:ln w="9525">
                      <a:noFill/>
                      <a:miter lim="800000"/>
                      <a:headEnd/>
                      <a:tailEnd/>
                    </a:ln>
                    <a:effectLst>
                      <a:outerShdw sx="1000" sy="1000" algn="ctr" rotWithShape="0">
                        <a:srgbClr val="000000"/>
                      </a:outerShdw>
                    </a:effectLst>
                  </pic:spPr>
                </pic:pic>
              </a:graphicData>
            </a:graphic>
            <wp14:sizeRelH relativeFrom="page">
              <wp14:pctWidth>0</wp14:pctWidth>
            </wp14:sizeRelH>
            <wp14:sizeRelV relativeFrom="page">
              <wp14:pctHeight>0</wp14:pctHeight>
            </wp14:sizeRelV>
          </wp:anchor>
        </w:drawing>
      </w:r>
      <w:r w:rsidRPr="0016031B">
        <w:rPr>
          <w:rFonts w:ascii="Aptos" w:eastAsia="Times New Roman" w:hAnsi="Aptos" w:cs="Times New Roman"/>
          <w:b/>
          <w:bCs/>
          <w:kern w:val="0"/>
          <w:sz w:val="20"/>
          <w:szCs w:val="20"/>
          <w:lang w:val="es-CO"/>
          <w14:ligatures w14:val="none"/>
        </w:rPr>
        <w:t xml:space="preserve"> </w:t>
      </w:r>
    </w:p>
    <w:p w14:paraId="7C2DB9DC" w14:textId="77777777" w:rsidR="0016031B" w:rsidRPr="0016031B" w:rsidRDefault="0016031B" w:rsidP="0016031B">
      <w:pPr>
        <w:ind w:left="2592"/>
        <w:rPr>
          <w:rFonts w:ascii="Aptos" w:eastAsia="Times New Roman" w:hAnsi="Aptos" w:cs="Times New Roman"/>
          <w:kern w:val="0"/>
          <w:sz w:val="20"/>
          <w:szCs w:val="20"/>
          <w:lang w:val="es-CO"/>
          <w14:ligatures w14:val="none"/>
        </w:rPr>
      </w:pPr>
      <w:r w:rsidRPr="0016031B">
        <w:rPr>
          <w:rFonts w:ascii="Aptos" w:eastAsia="Times New Roman" w:hAnsi="Aptos" w:cs="Times New Roman"/>
          <w:b/>
          <w:bCs/>
          <w:kern w:val="0"/>
          <w:sz w:val="20"/>
          <w:szCs w:val="20"/>
          <w:lang w:val="es-CO"/>
          <w14:ligatures w14:val="none"/>
        </w:rPr>
        <w:t xml:space="preserve">Completo: </w:t>
      </w:r>
      <w:r w:rsidRPr="0016031B">
        <w:rPr>
          <w:rFonts w:ascii="Aptos" w:eastAsia="Times New Roman" w:hAnsi="Aptos" w:cs="Times New Roman"/>
          <w:kern w:val="0"/>
          <w:sz w:val="20"/>
          <w:szCs w:val="20"/>
          <w:lang w:val="es-CO"/>
          <w14:ligatures w14:val="none"/>
        </w:rPr>
        <w:t>este monitor de preparación o prueba de autodiagnóstico ha sido ejecutado por la computadora de a bordo de su vehículo.</w:t>
      </w:r>
    </w:p>
    <w:p w14:paraId="01403931" w14:textId="181788A1" w:rsidR="0016031B" w:rsidRPr="0016031B" w:rsidRDefault="0016031B" w:rsidP="0016031B">
      <w:pPr>
        <w:ind w:left="2592"/>
        <w:rPr>
          <w:rFonts w:ascii="Aptos" w:eastAsia="Times New Roman" w:hAnsi="Aptos" w:cs="Times New Roman"/>
          <w:kern w:val="0"/>
          <w:sz w:val="20"/>
          <w:szCs w:val="20"/>
          <w:lang w:val="es-CO"/>
          <w14:ligatures w14:val="none"/>
        </w:rPr>
      </w:pPr>
      <w:r w:rsidRPr="0016031B">
        <w:rPr>
          <w:rFonts w:ascii="Aptos" w:eastAsia="Times New Roman" w:hAnsi="Aptos" w:cs="Arial"/>
          <w:b/>
          <w:noProof/>
          <w:kern w:val="0"/>
          <w:sz w:val="20"/>
          <w:szCs w:val="20"/>
          <w14:ligatures w14:val="none"/>
        </w:rPr>
        <mc:AlternateContent>
          <mc:Choice Requires="wps">
            <w:drawing>
              <wp:anchor distT="0" distB="0" distL="114300" distR="114300" simplePos="0" relativeHeight="251660288" behindDoc="0" locked="0" layoutInCell="1" allowOverlap="1" wp14:anchorId="6D67B875" wp14:editId="782AAC0E">
                <wp:simplePos x="0" y="0"/>
                <wp:positionH relativeFrom="column">
                  <wp:posOffset>732790</wp:posOffset>
                </wp:positionH>
                <wp:positionV relativeFrom="paragraph">
                  <wp:posOffset>245745</wp:posOffset>
                </wp:positionV>
                <wp:extent cx="723900" cy="196215"/>
                <wp:effectExtent l="8890" t="1194435" r="238760" b="9525"/>
                <wp:wrapNone/>
                <wp:docPr id="487996855" name="Speech Bubble: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96215"/>
                        </a:xfrm>
                        <a:prstGeom prst="wedgeRectCallout">
                          <a:avLst>
                            <a:gd name="adj1" fmla="val 78333"/>
                            <a:gd name="adj2" fmla="val -623139"/>
                          </a:avLst>
                        </a:prstGeom>
                        <a:solidFill>
                          <a:srgbClr val="FFFFFF">
                            <a:alpha val="0"/>
                          </a:srgbClr>
                        </a:solidFill>
                        <a:ln w="9525">
                          <a:solidFill>
                            <a:srgbClr val="000000"/>
                          </a:solidFill>
                          <a:miter lim="800000"/>
                          <a:headEnd/>
                          <a:tailEnd/>
                        </a:ln>
                      </wps:spPr>
                      <wps:txbx>
                        <w:txbxContent>
                          <w:p w14:paraId="3F1C529F" w14:textId="77777777" w:rsidR="0016031B" w:rsidRDefault="0016031B" w:rsidP="001603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7B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left:0;text-align:left;margin-left:57.7pt;margin-top:19.35pt;width:57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" adj="27720,-123798">
                <v:fill opacity="0"/>
                <v:textbox>
                  <w:txbxContent>
                    <w:p w14:paraId="3F1C529F" w14:textId="77777777" w:rsidR="0016031B" w:rsidRDefault="0016031B" w:rsidP="0016031B"/>
                  </w:txbxContent>
                </v:textbox>
              </v:shape>
            </w:pict>
          </mc:Fallback>
        </mc:AlternateContent>
      </w:r>
      <w:r w:rsidRPr="0016031B">
        <w:rPr>
          <w:rFonts w:ascii="Aptos" w:eastAsia="Times New Roman" w:hAnsi="Aptos" w:cs="Times New Roman"/>
          <w:b/>
          <w:bCs/>
          <w:kern w:val="0"/>
          <w:sz w:val="20"/>
          <w:szCs w:val="20"/>
          <w:lang w:val="es-CO"/>
          <w14:ligatures w14:val="none"/>
        </w:rPr>
        <w:t xml:space="preserve"> No completo: </w:t>
      </w:r>
      <w:r w:rsidRPr="0016031B">
        <w:rPr>
          <w:rFonts w:ascii="Aptos" w:eastAsia="Times New Roman" w:hAnsi="Aptos" w:cs="Times New Roman"/>
          <w:kern w:val="0"/>
          <w:sz w:val="20"/>
          <w:szCs w:val="20"/>
          <w:lang w:val="es-CO"/>
          <w14:ligatures w14:val="none"/>
        </w:rPr>
        <w:t>este monitor de preparación o prueba de autodiagnóstico NO ha sido ejecutado por la computadora de a bordo de su vehículo.</w:t>
      </w:r>
    </w:p>
    <w:p w14:paraId="17DEC17A" w14:textId="77777777" w:rsidR="0016031B" w:rsidRPr="0016031B" w:rsidRDefault="0016031B" w:rsidP="0016031B">
      <w:pPr>
        <w:ind w:left="2592"/>
        <w:rPr>
          <w:rFonts w:ascii="Aptos" w:eastAsia="Times New Roman" w:hAnsi="Aptos" w:cs="Times New Roman"/>
          <w:kern w:val="0"/>
          <w:sz w:val="20"/>
          <w:szCs w:val="20"/>
          <w:lang w:val="es-CO"/>
          <w14:ligatures w14:val="none"/>
        </w:rPr>
      </w:pPr>
      <w:r w:rsidRPr="0016031B">
        <w:rPr>
          <w:rFonts w:ascii="Aptos" w:eastAsia="Times New Roman" w:hAnsi="Aptos" w:cs="Times New Roman"/>
          <w:b/>
          <w:bCs/>
          <w:kern w:val="0"/>
          <w:sz w:val="20"/>
          <w:szCs w:val="20"/>
          <w:lang w:val="es-CO"/>
          <w14:ligatures w14:val="none"/>
        </w:rPr>
        <w:t xml:space="preserve">N/A: </w:t>
      </w:r>
      <w:r w:rsidRPr="0016031B">
        <w:rPr>
          <w:rFonts w:ascii="Aptos" w:eastAsia="Times New Roman" w:hAnsi="Aptos" w:cs="Times New Roman"/>
          <w:kern w:val="0"/>
          <w:sz w:val="20"/>
          <w:szCs w:val="20"/>
          <w:lang w:val="es-CO"/>
          <w14:ligatures w14:val="none"/>
        </w:rPr>
        <w:t>Este monitor de preparación o prueba de autodiagnóstico no está equipado en su vehículo por el fabricante.</w:t>
      </w:r>
    </w:p>
    <w:p w14:paraId="57B13365" w14:textId="77777777" w:rsidR="0016031B" w:rsidRPr="0016031B" w:rsidRDefault="0016031B" w:rsidP="0016031B">
      <w:pPr>
        <w:ind w:left="2592"/>
        <w:rPr>
          <w:rFonts w:ascii="Aptos" w:eastAsia="Times New Roman" w:hAnsi="Aptos" w:cs="Times New Roman"/>
          <w:kern w:val="0"/>
          <w:sz w:val="20"/>
          <w:szCs w:val="20"/>
          <w:lang w:val="es-CO"/>
          <w14:ligatures w14:val="none"/>
        </w:rPr>
      </w:pPr>
      <w:r w:rsidRPr="0016031B">
        <w:rPr>
          <w:rFonts w:ascii="Aptos" w:eastAsia="Times New Roman" w:hAnsi="Aptos" w:cs="Times New Roman"/>
          <w:b/>
          <w:bCs/>
          <w:kern w:val="0"/>
          <w:sz w:val="20"/>
          <w:szCs w:val="20"/>
          <w:lang w:val="es-CO"/>
          <w14:ligatures w14:val="none"/>
        </w:rPr>
        <w:t xml:space="preserve">No compatible: </w:t>
      </w:r>
      <w:r w:rsidRPr="0016031B">
        <w:rPr>
          <w:rFonts w:ascii="Aptos" w:eastAsia="Times New Roman" w:hAnsi="Aptos" w:cs="Times New Roman"/>
          <w:kern w:val="0"/>
          <w:sz w:val="20"/>
          <w:szCs w:val="20"/>
          <w:lang w:val="es-CO"/>
          <w14:ligatures w14:val="none"/>
        </w:rPr>
        <w:t xml:space="preserve">este monitor de preparación o prueba de autodiagnóstico está incluido en su vehículo por el fabricante, pero ya no está presente. Este problema deberá corregirse antes de que el vehículo pueda pasar la prueba verificación electrónica (E </w:t>
      </w:r>
      <w:proofErr w:type="spellStart"/>
      <w:r w:rsidRPr="0016031B">
        <w:rPr>
          <w:rFonts w:ascii="Aptos" w:eastAsia="Times New Roman" w:hAnsi="Aptos" w:cs="Times New Roman"/>
          <w:kern w:val="0"/>
          <w:sz w:val="20"/>
          <w:szCs w:val="20"/>
          <w:lang w:val="es-CO"/>
          <w14:ligatures w14:val="none"/>
        </w:rPr>
        <w:t>Check</w:t>
      </w:r>
      <w:proofErr w:type="spellEnd"/>
      <w:r w:rsidRPr="0016031B">
        <w:rPr>
          <w:rFonts w:ascii="Aptos" w:eastAsia="Times New Roman" w:hAnsi="Aptos" w:cs="Times New Roman"/>
          <w:kern w:val="0"/>
          <w:sz w:val="20"/>
          <w:szCs w:val="20"/>
          <w:lang w:val="es-CO"/>
          <w14:ligatures w14:val="none"/>
        </w:rPr>
        <w:t>) de Ohio.</w:t>
      </w:r>
    </w:p>
    <w:p w14:paraId="440D995F" w14:textId="77777777" w:rsidR="0016031B" w:rsidRPr="0016031B" w:rsidRDefault="0016031B" w:rsidP="0016031B">
      <w:pPr>
        <w:spacing w:after="0" w:line="240" w:lineRule="auto"/>
        <w:jc w:val="both"/>
        <w:rPr>
          <w:rFonts w:ascii="Aptos" w:eastAsia="Times New Roman" w:hAnsi="Aptos" w:cs="Arial"/>
          <w:kern w:val="0"/>
          <w:sz w:val="20"/>
          <w:szCs w:val="20"/>
          <w:lang w:val="es-CO"/>
          <w14:ligatures w14:val="none"/>
        </w:rPr>
      </w:pPr>
    </w:p>
    <w:p w14:paraId="58C1B46A"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kern w:val="0"/>
          <w:sz w:val="20"/>
          <w:szCs w:val="20"/>
          <w:lang w:val="es-CO"/>
          <w14:ligatures w14:val="none"/>
        </w:rPr>
        <w:t>Recuerde realizar la prueba con anticipación. Si continúa teniendo problemas de reparación o de preparación/prueba, no espere hasta la última semana de su registro; comuníquese con la EPA de Ohio al (614) 644-3059 o al (330) 963-4479.</w:t>
      </w:r>
    </w:p>
    <w:p w14:paraId="1A333DB9"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kern w:val="0"/>
          <w:sz w:val="20"/>
          <w:szCs w:val="20"/>
          <w:lang w:val="es-CO"/>
          <w14:ligatures w14:val="none"/>
        </w:rPr>
        <w:t xml:space="preserve">Recursos basados </w:t>
      </w:r>
      <w:r w:rsidRPr="0016031B">
        <w:rPr>
          <w:rFonts w:ascii="Arial" w:eastAsia="Times New Roman" w:hAnsi="Arial" w:cs="Arial"/>
          <w:kern w:val="0"/>
          <w:sz w:val="20"/>
          <w:szCs w:val="20"/>
          <w:lang w:val="es-CO"/>
          <w14:ligatures w14:val="none"/>
        </w:rPr>
        <w:t>​​</w:t>
      </w:r>
      <w:r w:rsidRPr="0016031B">
        <w:rPr>
          <w:rFonts w:ascii="Aptos" w:eastAsia="Times New Roman" w:hAnsi="Aptos" w:cs="Times New Roman"/>
          <w:kern w:val="0"/>
          <w:sz w:val="20"/>
          <w:szCs w:val="20"/>
          <w:lang w:val="es-CO"/>
          <w14:ligatures w14:val="none"/>
        </w:rPr>
        <w:t>en la web:</w:t>
      </w:r>
    </w:p>
    <w:p w14:paraId="3AD3954F"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kern w:val="0"/>
          <w:sz w:val="20"/>
          <w:szCs w:val="20"/>
          <w:u w:val="single"/>
          <w:lang w:val="es-CO"/>
          <w14:ligatures w14:val="none"/>
        </w:rPr>
        <w:t>https://epa.ohio.gov/divisions-and-offices/air-pollution-control/e-check/06-obd</w:t>
      </w:r>
    </w:p>
    <w:p w14:paraId="6213CCE4"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hyperlink r:id="rId5" w:history="1">
        <w:r w:rsidRPr="0016031B">
          <w:rPr>
            <w:rFonts w:ascii="Aptos" w:eastAsia="Times New Roman" w:hAnsi="Aptos" w:cs="Times New Roman"/>
            <w:color w:val="0000FF"/>
            <w:kern w:val="0"/>
            <w:sz w:val="20"/>
            <w:szCs w:val="20"/>
            <w:u w:val="single"/>
            <w:lang w:val="es-CO"/>
            <w14:ligatures w14:val="none"/>
          </w:rPr>
          <w:t>www.aa1car.com (fuente externa) *</w:t>
        </w:r>
      </w:hyperlink>
    </w:p>
    <w:p w14:paraId="2CA834D3"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hyperlink r:id="rId6" w:history="1">
        <w:r w:rsidRPr="0016031B">
          <w:rPr>
            <w:rFonts w:ascii="Aptos" w:eastAsia="Times New Roman" w:hAnsi="Aptos" w:cs="Times New Roman"/>
            <w:color w:val="0000FF"/>
            <w:kern w:val="0"/>
            <w:sz w:val="20"/>
            <w:szCs w:val="20"/>
            <w:u w:val="single"/>
            <w:lang w:val="es-CO"/>
            <w14:ligatures w14:val="none"/>
          </w:rPr>
          <w:t>http://www.lyberty.com/car/drive-cycle.html (fuente externa) *</w:t>
        </w:r>
      </w:hyperlink>
    </w:p>
    <w:p w14:paraId="4BFF4F01" w14:textId="77777777" w:rsidR="0016031B" w:rsidRPr="0016031B" w:rsidRDefault="0016031B" w:rsidP="0016031B">
      <w:pPr>
        <w:spacing w:line="240" w:lineRule="auto"/>
        <w:rPr>
          <w:rFonts w:ascii="Aptos" w:eastAsia="Times New Roman" w:hAnsi="Aptos" w:cs="Times New Roman"/>
          <w:kern w:val="0"/>
          <w:sz w:val="20"/>
          <w:szCs w:val="20"/>
          <w:lang w:val="es-CO"/>
          <w14:ligatures w14:val="none"/>
        </w:rPr>
      </w:pPr>
      <w:r w:rsidRPr="0016031B">
        <w:rPr>
          <w:rFonts w:ascii="Aptos" w:eastAsia="Times New Roman" w:hAnsi="Aptos" w:cs="Times New Roman"/>
          <w:kern w:val="0"/>
          <w:sz w:val="20"/>
          <w:szCs w:val="20"/>
          <w:lang w:val="es-CO"/>
          <w14:ligatures w14:val="none"/>
        </w:rPr>
        <w:t>*Nota especial: La EPA de Ohio no respalda ninguna ubicación de sitio web, la lista es meramente para fines informativos.</w:t>
      </w:r>
    </w:p>
    <w:p w14:paraId="1C86B6BA" w14:textId="77777777" w:rsidR="0016031B" w:rsidRPr="0016031B" w:rsidRDefault="0016031B" w:rsidP="0016031B">
      <w:pPr>
        <w:rPr>
          <w:rFonts w:ascii="Aptos" w:eastAsia="Times New Roman" w:hAnsi="Aptos" w:cs="Times New Roman"/>
          <w:kern w:val="0"/>
          <w:sz w:val="20"/>
          <w:szCs w:val="20"/>
          <w14:ligatures w14:val="none"/>
        </w:rPr>
      </w:pPr>
    </w:p>
    <w:p w14:paraId="771CBD7B" w14:textId="77777777" w:rsidR="0016031B" w:rsidRPr="0016031B" w:rsidRDefault="0016031B" w:rsidP="0016031B">
      <w:pPr>
        <w:rPr>
          <w:rFonts w:ascii="Aptos" w:eastAsia="Times New Roman" w:hAnsi="Aptos" w:cs="Times New Roman"/>
          <w:kern w:val="0"/>
          <w:sz w:val="20"/>
          <w:szCs w:val="20"/>
          <w14:ligatures w14:val="none"/>
        </w:rPr>
      </w:pPr>
      <w:proofErr w:type="spellStart"/>
      <w:r w:rsidRPr="0016031B">
        <w:rPr>
          <w:rFonts w:ascii="Aptos" w:eastAsia="Times New Roman" w:hAnsi="Aptos" w:cs="Times New Roman"/>
          <w:kern w:val="0"/>
          <w:sz w:val="20"/>
          <w:szCs w:val="20"/>
          <w14:ligatures w14:val="none"/>
        </w:rPr>
        <w:t>Fecha</w:t>
      </w:r>
      <w:proofErr w:type="spellEnd"/>
      <w:r w:rsidRPr="0016031B">
        <w:rPr>
          <w:rFonts w:ascii="Aptos" w:eastAsia="Times New Roman" w:hAnsi="Aptos" w:cs="Times New Roman"/>
          <w:kern w:val="0"/>
          <w:sz w:val="20"/>
          <w:szCs w:val="20"/>
          <w14:ligatures w14:val="none"/>
        </w:rPr>
        <w:t xml:space="preserve"> de </w:t>
      </w:r>
      <w:proofErr w:type="spellStart"/>
      <w:r w:rsidRPr="0016031B">
        <w:rPr>
          <w:rFonts w:ascii="Aptos" w:eastAsia="Times New Roman" w:hAnsi="Aptos" w:cs="Times New Roman"/>
          <w:kern w:val="0"/>
          <w:sz w:val="20"/>
          <w:szCs w:val="20"/>
          <w14:ligatures w14:val="none"/>
        </w:rPr>
        <w:t>revisión</w:t>
      </w:r>
      <w:proofErr w:type="spellEnd"/>
      <w:r w:rsidRPr="0016031B">
        <w:rPr>
          <w:rFonts w:ascii="Aptos" w:eastAsia="Times New Roman" w:hAnsi="Aptos" w:cs="Times New Roman"/>
          <w:kern w:val="0"/>
          <w:sz w:val="20"/>
          <w:szCs w:val="20"/>
          <w14:ligatures w14:val="none"/>
        </w:rPr>
        <w:t xml:space="preserve"> 16/09/2024</w:t>
      </w:r>
    </w:p>
    <w:p w14:paraId="249E1591" w14:textId="77777777" w:rsidR="0016031B" w:rsidRPr="0016031B" w:rsidRDefault="0016031B" w:rsidP="0016031B">
      <w:pPr>
        <w:widowControl w:val="0"/>
        <w:autoSpaceDE w:val="0"/>
        <w:autoSpaceDN w:val="0"/>
        <w:spacing w:before="182" w:after="0" w:line="240" w:lineRule="auto"/>
        <w:ind w:left="144" w:firstLine="1"/>
        <w:rPr>
          <w:rFonts w:ascii="Aptos" w:eastAsia="Arial" w:hAnsi="Aptos" w:cs="Arial"/>
          <w:kern w:val="0"/>
          <w:sz w:val="20"/>
          <w:szCs w:val="20"/>
          <w14:ligatures w14:val="none"/>
        </w:rPr>
      </w:pPr>
    </w:p>
    <w:p w14:paraId="5AC99CAF" w14:textId="77777777" w:rsidR="0016031B" w:rsidRDefault="0016031B"/>
    <w:sectPr w:rsidR="0016031B" w:rsidSect="0016031B">
      <w:pgSz w:w="12240" w:h="15840"/>
      <w:pgMar w:top="720" w:right="720" w:bottom="576" w:left="72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1B"/>
    <w:rsid w:val="0016031B"/>
    <w:rsid w:val="00B0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7"/>
      </o:rules>
    </o:shapelayout>
  </w:shapeDefaults>
  <w:decimalSymbol w:val="."/>
  <w:listSeparator w:val=","/>
  <w14:docId w14:val="67E053AB"/>
  <w15:chartTrackingRefBased/>
  <w15:docId w15:val="{1CDDC036-2306-4A9A-93F5-633A1FB5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31B"/>
    <w:rPr>
      <w:rFonts w:eastAsiaTheme="majorEastAsia" w:cstheme="majorBidi"/>
      <w:color w:val="272727" w:themeColor="text1" w:themeTint="D8"/>
    </w:rPr>
  </w:style>
  <w:style w:type="paragraph" w:styleId="Title">
    <w:name w:val="Title"/>
    <w:basedOn w:val="Normal"/>
    <w:next w:val="Normal"/>
    <w:link w:val="TitleChar"/>
    <w:uiPriority w:val="10"/>
    <w:qFormat/>
    <w:rsid w:val="00160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31B"/>
    <w:pPr>
      <w:spacing w:before="160"/>
      <w:jc w:val="center"/>
    </w:pPr>
    <w:rPr>
      <w:i/>
      <w:iCs/>
      <w:color w:val="404040" w:themeColor="text1" w:themeTint="BF"/>
    </w:rPr>
  </w:style>
  <w:style w:type="character" w:customStyle="1" w:styleId="QuoteChar">
    <w:name w:val="Quote Char"/>
    <w:basedOn w:val="DefaultParagraphFont"/>
    <w:link w:val="Quote"/>
    <w:uiPriority w:val="29"/>
    <w:rsid w:val="0016031B"/>
    <w:rPr>
      <w:i/>
      <w:iCs/>
      <w:color w:val="404040" w:themeColor="text1" w:themeTint="BF"/>
    </w:rPr>
  </w:style>
  <w:style w:type="paragraph" w:styleId="ListParagraph">
    <w:name w:val="List Paragraph"/>
    <w:basedOn w:val="Normal"/>
    <w:uiPriority w:val="34"/>
    <w:qFormat/>
    <w:rsid w:val="0016031B"/>
    <w:pPr>
      <w:ind w:left="720"/>
      <w:contextualSpacing/>
    </w:pPr>
  </w:style>
  <w:style w:type="character" w:styleId="IntenseEmphasis">
    <w:name w:val="Intense Emphasis"/>
    <w:basedOn w:val="DefaultParagraphFont"/>
    <w:uiPriority w:val="21"/>
    <w:qFormat/>
    <w:rsid w:val="0016031B"/>
    <w:rPr>
      <w:i/>
      <w:iCs/>
      <w:color w:val="0F4761" w:themeColor="accent1" w:themeShade="BF"/>
    </w:rPr>
  </w:style>
  <w:style w:type="paragraph" w:styleId="IntenseQuote">
    <w:name w:val="Intense Quote"/>
    <w:basedOn w:val="Normal"/>
    <w:next w:val="Normal"/>
    <w:link w:val="IntenseQuoteChar"/>
    <w:uiPriority w:val="30"/>
    <w:qFormat/>
    <w:rsid w:val="00160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31B"/>
    <w:rPr>
      <w:i/>
      <w:iCs/>
      <w:color w:val="0F4761" w:themeColor="accent1" w:themeShade="BF"/>
    </w:rPr>
  </w:style>
  <w:style w:type="character" w:styleId="IntenseReference">
    <w:name w:val="Intense Reference"/>
    <w:basedOn w:val="DefaultParagraphFont"/>
    <w:uiPriority w:val="32"/>
    <w:qFormat/>
    <w:rsid w:val="001603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yberty.com/car/drive-cycle.html" TargetMode="External"/><Relationship Id="rId5" Type="http://schemas.openxmlformats.org/officeDocument/2006/relationships/hyperlink" Target="http://www.aa1ca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2223</Characters>
  <Application>Microsoft Office Word</Application>
  <DocSecurity>0</DocSecurity>
  <Lines>18</Lines>
  <Paragraphs>5</Paragraphs>
  <ScaleCrop>false</ScaleCrop>
  <Company>ESP</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Brenda</dc:creator>
  <cp:keywords/>
  <dc:description/>
  <cp:lastModifiedBy>Pierce, Brenda</cp:lastModifiedBy>
  <cp:revision>1</cp:revision>
  <dcterms:created xsi:type="dcterms:W3CDTF">2024-11-07T02:06:00Z</dcterms:created>
  <dcterms:modified xsi:type="dcterms:W3CDTF">2024-11-07T02:09:00Z</dcterms:modified>
</cp:coreProperties>
</file>